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31" w:rsidRPr="00506D31" w:rsidRDefault="00506D31" w:rsidP="00506D31">
      <w:pPr>
        <w:pStyle w:val="a3"/>
        <w:spacing w:before="0" w:beforeAutospacing="0" w:after="0" w:afterAutospacing="0"/>
        <w:jc w:val="center"/>
        <w:rPr>
          <w:sz w:val="32"/>
          <w:szCs w:val="32"/>
          <w:lang w:val="en-US"/>
        </w:rPr>
      </w:pPr>
      <w:r w:rsidRPr="00506D31">
        <w:rPr>
          <w:rStyle w:val="a4"/>
          <w:sz w:val="32"/>
          <w:szCs w:val="32"/>
        </w:rPr>
        <w:t>Жесты баскетбольных судей</w:t>
      </w:r>
    </w:p>
    <w:p w:rsidR="00BD1AE4" w:rsidRDefault="00BD1AE4" w:rsidP="00BD1AE4">
      <w:pPr>
        <w:pStyle w:val="a3"/>
        <w:jc w:val="both"/>
      </w:pPr>
      <w:r>
        <w:t xml:space="preserve">Сегодня мы поговорим про одну из неотъемлемых частей судейского процесса в баскетбольном матче - жестах судей. </w:t>
      </w:r>
      <w:r>
        <w:rPr>
          <w:rStyle w:val="a4"/>
        </w:rPr>
        <w:t>Жесты баскетбольных судей</w:t>
      </w:r>
      <w:r>
        <w:t xml:space="preserve"> служат для того, чтобы объяснить, как зрителям, так и судьям-секретарям, какой пункт правил баскетбола был нарушен, кем он был нарушен и какие санкции понесет нарушивший правила игрок.</w:t>
      </w:r>
    </w:p>
    <w:p w:rsidR="00BD1AE4" w:rsidRDefault="00BD1AE4" w:rsidP="00BD1AE4">
      <w:pPr>
        <w:pStyle w:val="a3"/>
        <w:jc w:val="both"/>
      </w:pPr>
      <w:r>
        <w:t xml:space="preserve">При написании этой статьи были использованы </w:t>
      </w:r>
      <w:hyperlink r:id="rId4" w:tgtFrame="_blank" w:tooltip="Правила баскетбола: правила игры в баскетбол" w:history="1">
        <w:r w:rsidRPr="00BD1AE4">
          <w:rPr>
            <w:u w:val="single"/>
          </w:rPr>
          <w:t>официальные правила ФИБА</w:t>
        </w:r>
      </w:hyperlink>
      <w:r>
        <w:t xml:space="preserve"> 2010 года, которые на данный момент являются основой для проведения всех профессиональных баскетбольных турниров на территории, находящейся под контролем Международной федерации баскетбольных ассоциаций. Цитируя эти правила: «Жесты, приведенные в данных Правилах, являются единственными официальными жестами. Они должны использоваться всеми судьями во всех играх. Важно, чтобы судьи-секретари также были знакомы с этими жестами».</w:t>
      </w:r>
    </w:p>
    <w:p w:rsidR="00BD1AE4" w:rsidRP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о жестах баскетбольных судей мы начнем с жестов, которыми обозначаются </w:t>
      </w:r>
      <w:r w:rsidRPr="00BD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броски по кольцу</w:t>
      </w:r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удачные попытки бросков, а также обозначение количества набранных очков.</w:t>
      </w:r>
    </w:p>
    <w:p w:rsidR="00BD1AE4" w:rsidRPr="00BD1AE4" w:rsidRDefault="00BD1AE4" w:rsidP="00BD1A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686425" cy="2362200"/>
            <wp:effectExtent l="19050" t="0" r="9525" b="0"/>
            <wp:docPr id="1" name="Рисунок 1" descr="Правила баскетбола: жесты судей">
              <a:hlinkClick xmlns:a="http://schemas.openxmlformats.org/drawingml/2006/main" r:id="rId5" tooltip="&quot;Правила баскетбола: жесты судей в баскетбол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аскетбола: жесты судей">
                      <a:hlinkClick r:id="rId5" tooltip="&quot;Правила баскетбола: жесты судей в баскетбол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AE4" w:rsidRPr="00BD1AE4" w:rsidRDefault="00BD1AE4" w:rsidP="00BD1A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баскетбола: жесты судей - бросок по кольцу</w:t>
      </w: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P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серия судейских жестов затрагивает все, </w:t>
      </w:r>
      <w:proofErr w:type="gramStart"/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или иначе связано с игровым временем.</w:t>
      </w:r>
    </w:p>
    <w:p w:rsidR="00BD1AE4" w:rsidRPr="00BD1AE4" w:rsidRDefault="00BD1AE4" w:rsidP="00BD1A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686425" cy="2381250"/>
            <wp:effectExtent l="19050" t="0" r="9525" b="0"/>
            <wp:docPr id="3" name="Рисунок 3" descr="Правила баскетбола: жесты судей в баскетболе">
              <a:hlinkClick xmlns:a="http://schemas.openxmlformats.org/drawingml/2006/main" r:id="rId5" tooltip="&quot;Правила баскетбола: жесты судей в баскетбол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баскетбола: жесты судей в баскетболе">
                      <a:hlinkClick r:id="rId5" tooltip="&quot;Правила баскетбола: жесты судей в баскетбол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AE4" w:rsidRPr="00BD1AE4" w:rsidRDefault="00BD1AE4" w:rsidP="00BD1A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баскетбола: жесты судей в баскетболе об игровом времени</w:t>
      </w:r>
    </w:p>
    <w:p w:rsidR="00EA12B0" w:rsidRDefault="00EA12B0">
      <w:pPr>
        <w:rPr>
          <w:lang w:val="en-US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D1AE4" w:rsidRP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Административные жесты</w:t>
      </w:r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баскетбольных судей связаны с проведением замены одного игрока на другого, приглашением игрока на площадку, объявлением тайм-аута, а также визуальной демонстрацией отсчета времени (пяти секунд и восьми секунд). Кроме того, есть жест, который применяется для связи между судьями и </w:t>
      </w:r>
      <w:proofErr w:type="spellStart"/>
      <w:proofErr w:type="gramStart"/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судьям-секретарями</w:t>
      </w:r>
      <w:proofErr w:type="spellEnd"/>
      <w:proofErr w:type="gramEnd"/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AE4" w:rsidRPr="00BD1AE4" w:rsidRDefault="00BD1AE4" w:rsidP="00BD1A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514975" cy="2309454"/>
            <wp:effectExtent l="19050" t="0" r="9525" b="0"/>
            <wp:docPr id="5" name="Рисунок 5" descr="Правила баскетбола: жесты судей в баскетболе">
              <a:hlinkClick xmlns:a="http://schemas.openxmlformats.org/drawingml/2006/main" r:id="rId5" tooltip="&quot;Правила баскетбола: жесты судей в баскетбол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авила баскетбола: жесты судей в баскетболе">
                      <a:hlinkClick r:id="rId5" tooltip="&quot;Правила баскетбола: жесты судей в баскетбол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30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AE4" w:rsidRPr="00BD1AE4" w:rsidRDefault="00BD1AE4" w:rsidP="00BD1A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баскетбола: административные жесты судей</w:t>
      </w: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P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Следующая группа жестов, которая включает в себя одиннадцать видов жестов, призвана демонстрировать зрителям и судьям-секретарям - какие именно </w:t>
      </w:r>
      <w:r w:rsidRPr="00BD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баскетбола</w:t>
      </w:r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нарушены в данном конкретном эпизоде. </w:t>
      </w:r>
      <w:r w:rsidRPr="00BD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Жест судьи</w:t>
      </w:r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расскажет нам, была ли у игрока пробежка или он использовал неправильно ведение (двойное ведение, пронос мяча), был ли игрок слишком долго в трехсекундной зоне или не успел ввести мяч в игру, была ли умышленная игра ногой или игрок нарушил правило зоны.</w:t>
      </w:r>
    </w:p>
    <w:p w:rsidR="00BD1AE4" w:rsidRPr="00BD1AE4" w:rsidRDefault="00BD1AE4" w:rsidP="00BD1A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397285" cy="6934200"/>
            <wp:effectExtent l="19050" t="0" r="0" b="0"/>
            <wp:docPr id="7" name="Рисунок 7" descr="Правила баскетбола: жесты баскетбольных судей нарушение правил">
              <a:hlinkClick xmlns:a="http://schemas.openxmlformats.org/drawingml/2006/main" r:id="rId5" tooltip="&quot;Правила баскетбола: жесты судей в баскетбол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авила баскетбола: жесты баскетбольных судей нарушение правил">
                      <a:hlinkClick r:id="rId5" tooltip="&quot;Правила баскетбола: жесты судей в баскетбол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285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AE4" w:rsidRDefault="00BD1AE4" w:rsidP="00BD1AE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баскетбола: жесты баскетбольных судей нарушение правил</w:t>
      </w: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P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Хорошо, игрок нарушил </w:t>
      </w:r>
      <w:hyperlink r:id="rId10" w:tgtFrame="_blank" w:tooltip="Правила баскетбола" w:history="1">
        <w:r w:rsidRPr="00BD1AE4">
          <w:rPr>
            <w:rFonts w:ascii="Times New Roman" w:hAnsi="Times New Roman" w:cs="Times New Roman"/>
            <w:u w:val="single"/>
            <w:lang w:eastAsia="ru-RU"/>
          </w:rPr>
          <w:t>правила баскетбола</w:t>
        </w:r>
      </w:hyperlink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(совершил фол) и судья это заметил. Теперь он должен в полном объеме проинформировать об этом судейский столик. Вся процедура состоит из трех шагов. Первым шагом является уведомление судей-секретарей о том, какой номер у игрока, нарушившего правила.</w:t>
      </w:r>
    </w:p>
    <w:p w:rsidR="00BD1AE4" w:rsidRPr="00BD1AE4" w:rsidRDefault="00BD1AE4" w:rsidP="00BD1A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686425" cy="7048500"/>
            <wp:effectExtent l="19050" t="0" r="9525" b="0"/>
            <wp:docPr id="9" name="Рисунок 9" descr="Правила баскетбола: жест информирования судей">
              <a:hlinkClick xmlns:a="http://schemas.openxmlformats.org/drawingml/2006/main" r:id="rId11" tooltip="&quot;Basketball-rules_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авила баскетбола: жест информирования судей">
                      <a:hlinkClick r:id="rId11" tooltip="&quot;Basketball-rules_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AE4" w:rsidRPr="00BD1AE4" w:rsidRDefault="00BD1AE4" w:rsidP="00BD1A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баскетбола: жест информирования судей</w:t>
      </w:r>
    </w:p>
    <w:p w:rsidR="00BD1AE4" w:rsidRPr="00BD1AE4" w:rsidRDefault="00BD1AE4" w:rsidP="00BD1A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P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Второй шаг заключается в том, чтобы продемонстрировать, какой именно тип фола имел место: неправильное использование рук, столкновение с игроком, владеющим мячом, или с игроком без мяча. Также, в определенных ситуациях судья может назначить обоюдный фол, технический фол, неспортивный фол или даже дисквалифицирующий фол.</w:t>
      </w:r>
    </w:p>
    <w:p w:rsidR="00BD1AE4" w:rsidRPr="00BD1AE4" w:rsidRDefault="00BD1AE4" w:rsidP="00BD1A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686425" cy="7524750"/>
            <wp:effectExtent l="19050" t="0" r="9525" b="0"/>
            <wp:docPr id="11" name="Рисунок 11" descr="Правила баскетбола: жест о типе фола">
              <a:hlinkClick xmlns:a="http://schemas.openxmlformats.org/drawingml/2006/main" r:id="rId13" tooltip="&quot;Basketball-rules_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авила баскетбола: жест о типе фола">
                      <a:hlinkClick r:id="rId13" tooltip="&quot;Basketball-rules_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AE4" w:rsidRPr="00BD1AE4" w:rsidRDefault="00BD1AE4" w:rsidP="00BD1A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баскетбола: жест о типе фола</w:t>
      </w:r>
    </w:p>
    <w:p w:rsidR="00BD1AE4" w:rsidRDefault="00BD1AE4" w:rsidP="00BD1A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Pr="00BD1AE4" w:rsidRDefault="00BD1AE4" w:rsidP="00BD1A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P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Наконец, третий шаг судьи - уведомить о количестве предоставленных штрафных бросков (один, два или три броска). Если нарушение правил не предусматривает выполнения штрафных бросков, то судья должен указать направление </w:t>
      </w:r>
      <w:proofErr w:type="gramStart"/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</w:t>
      </w:r>
      <w:proofErr w:type="gramEnd"/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игры.</w:t>
      </w:r>
    </w:p>
    <w:p w:rsidR="00BD1AE4" w:rsidRPr="00BD1AE4" w:rsidRDefault="00BD1AE4" w:rsidP="00BD1A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857750" cy="2457354"/>
            <wp:effectExtent l="19050" t="0" r="0" b="0"/>
            <wp:docPr id="13" name="Рисунок 13" descr="Правила баскетбола: наказание за нарушение правил">
              <a:hlinkClick xmlns:a="http://schemas.openxmlformats.org/drawingml/2006/main" r:id="rId15" tooltip="&quot;Basketball-rules_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авила баскетбола: наказание за нарушение правил">
                      <a:hlinkClick r:id="rId15" tooltip="&quot;Basketball-rules_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45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AE4" w:rsidRDefault="00BD1AE4" w:rsidP="00BD1AE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баскетбола: наказание за нарушение правил</w:t>
      </w:r>
    </w:p>
    <w:p w:rsidR="00BD1AE4" w:rsidRPr="00BD1AE4" w:rsidRDefault="00BD1AE4" w:rsidP="00BD1AE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Pr="00BD1AE4" w:rsidRDefault="00BD1AE4" w:rsidP="00BD1A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162300" cy="2381250"/>
            <wp:effectExtent l="19050" t="0" r="0" b="0"/>
            <wp:docPr id="15" name="Рисунок 15" descr="Правила баскетбола: наказание за нарушение правил">
              <a:hlinkClick xmlns:a="http://schemas.openxmlformats.org/drawingml/2006/main" r:id="rId17" tooltip="&quot;Basketball-rules_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авила баскетбола: наказание за нарушение правил">
                      <a:hlinkClick r:id="rId17" tooltip="&quot;Basketball-rules_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AE4" w:rsidRPr="00BD1AE4" w:rsidRDefault="00BD1AE4" w:rsidP="00BD1A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баскетбола: наказание за нарушение правил</w:t>
      </w:r>
    </w:p>
    <w:p w:rsidR="00506D31" w:rsidRDefault="00506D31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D31" w:rsidRDefault="00506D31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D31" w:rsidRDefault="00506D31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D31" w:rsidRDefault="00506D31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D31" w:rsidRDefault="00506D31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D31" w:rsidRDefault="00506D31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D31" w:rsidRDefault="00506D31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D31" w:rsidRDefault="00506D31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D31" w:rsidRDefault="00506D31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D31" w:rsidRDefault="00506D31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Pr="00BD1AE4" w:rsidRDefault="00BD1AE4" w:rsidP="00BD1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Итак, судья уже показал </w:t>
      </w:r>
      <w:proofErr w:type="gramStart"/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proofErr w:type="gramEnd"/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тип нарушения правил и определил меру наказания для него. Последняя группа жестов баскетбольных судей относится непосредственно к выполнению штрафных бросков (свободных бросков). Причем, вид жеста отличается в зависимости от того, находится ли </w:t>
      </w:r>
      <w:proofErr w:type="gramStart"/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  <w:proofErr w:type="gramEnd"/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ограниченной зоны, либо за её пределами.</w:t>
      </w:r>
    </w:p>
    <w:p w:rsidR="00BD1AE4" w:rsidRPr="00BD1AE4" w:rsidRDefault="00BD1AE4" w:rsidP="00BD1A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695825" cy="2381250"/>
            <wp:effectExtent l="19050" t="0" r="9525" b="0"/>
            <wp:docPr id="16" name="Рисунок 16" descr="Правила баскетбола: свободные броски">
              <a:hlinkClick xmlns:a="http://schemas.openxmlformats.org/drawingml/2006/main" r:id="rId19" tooltip="&quot;Basketball-rules_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авила баскетбола: свободные броски">
                      <a:hlinkClick r:id="rId19" tooltip="&quot;Basketball-rules_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AE4" w:rsidRDefault="00BD1AE4" w:rsidP="00BD1AE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баскетбола: свободные броски</w:t>
      </w:r>
    </w:p>
    <w:p w:rsidR="00506D31" w:rsidRDefault="00506D31" w:rsidP="00BD1AE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D31" w:rsidRPr="00BD1AE4" w:rsidRDefault="00506D31" w:rsidP="00BD1AE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1AE4" w:rsidRPr="00BD1AE4" w:rsidRDefault="00BD1AE4" w:rsidP="00BD1A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714875" cy="2381250"/>
            <wp:effectExtent l="19050" t="0" r="9525" b="0"/>
            <wp:docPr id="19" name="Рисунок 19" descr="Правила баскетбола: свободные броски">
              <a:hlinkClick xmlns:a="http://schemas.openxmlformats.org/drawingml/2006/main" r:id="rId21" tooltip="&quot;Basketball-rules_1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авила баскетбола: свободные броски">
                      <a:hlinkClick r:id="rId21" tooltip="&quot;Basketball-rules_1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AE4" w:rsidRPr="00BD1AE4" w:rsidRDefault="00BD1AE4" w:rsidP="00BD1A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баскетбола: свободные броски</w:t>
      </w:r>
    </w:p>
    <w:p w:rsidR="00BD1AE4" w:rsidRPr="00BD1AE4" w:rsidRDefault="00BD1AE4"/>
    <w:sectPr w:rsidR="00BD1AE4" w:rsidRPr="00BD1AE4" w:rsidSect="00BD1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AE4"/>
    <w:rsid w:val="003A583F"/>
    <w:rsid w:val="00506D31"/>
    <w:rsid w:val="00532343"/>
    <w:rsid w:val="00BD1AE4"/>
    <w:rsid w:val="00EA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A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AE4"/>
    <w:rPr>
      <w:b/>
      <w:bCs/>
    </w:rPr>
  </w:style>
  <w:style w:type="paragraph" w:customStyle="1" w:styleId="wp-caption-text">
    <w:name w:val="wp-caption-text"/>
    <w:basedOn w:val="a"/>
    <w:rsid w:val="00BD1A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AE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AE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D1A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basketball-training.org.ua/wp-content/uploads/2011/10/Basketball-rules_6.jpg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http://basketball-training.org.ua/wp-content/uploads/2011/10/Basketball-rules_10.jp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basketball-training.org.ua/wp-content/uploads/2011/10/Basketball-rules_8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basketball-training.org.ua/wp-content/uploads/2011/10/Basketball-rules_5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asketball-training.org.ua/pravila_basketbola/pravila-basketbola-zhesty-sudej-v-basketbole.html" TargetMode="External"/><Relationship Id="rId15" Type="http://schemas.openxmlformats.org/officeDocument/2006/relationships/hyperlink" Target="http://basketball-training.org.ua/wp-content/uploads/2011/10/Basketball-rules_7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ketball-training.org.ua/pravila_basketbola" TargetMode="External"/><Relationship Id="rId19" Type="http://schemas.openxmlformats.org/officeDocument/2006/relationships/hyperlink" Target="http://basketball-training.org.ua/wp-content/uploads/2011/10/Basketball-rules_9.jpg" TargetMode="External"/><Relationship Id="rId4" Type="http://schemas.openxmlformats.org/officeDocument/2006/relationships/hyperlink" Target="http://basketball-training.org.ua/pravila_basketbola/pravila-basketbola-pravila-igry-v-basketbol.html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Syrax</cp:lastModifiedBy>
  <cp:revision>1</cp:revision>
  <dcterms:created xsi:type="dcterms:W3CDTF">2014-02-03T13:19:00Z</dcterms:created>
  <dcterms:modified xsi:type="dcterms:W3CDTF">2014-02-03T13:31:00Z</dcterms:modified>
</cp:coreProperties>
</file>